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br/>
            <w:r>
              <w:rPr/>
              <w:t xml:space="preserve">Направить обращение в МЧС России</w:t>
            </w:r>
            <w:br/>
            <w:br/>
            <w:br/>
            <w:r>
              <w:rPr>
                <w:b w:val="1"/>
                <w:bCs w:val="1"/>
              </w:rPr>
              <w:t xml:space="preserve">ВНИМАНИЕ!</w:t>
            </w:r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ограничен.</w:t>
            </w:r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 обращений-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r>
              <w:rPr/>
              <w:t xml:space="preserve">Часто задаваемые вопросы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Общественные приемные территориальных органов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График личного приема граждан должностными лицами МЧСРоссии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DC1233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ye-priemnye-territorialnyh-organov-mchs-rossi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mchs-rossi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2021-04-22T00:03:07+12:00</dcterms:created>
  <dcterms:modified xsi:type="dcterms:W3CDTF">2021-04-22T00:03:07+12:00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